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83E3E" w14:textId="6FFB5EA6" w:rsidR="00A2611F" w:rsidRPr="00A2611F" w:rsidRDefault="000F1285" w:rsidP="00B932F3">
      <w:pPr>
        <w:pStyle w:val="Heading1"/>
        <w:spacing w:before="0" w:line="240" w:lineRule="auto"/>
        <w:jc w:val="center"/>
        <w:rPr>
          <w:b/>
          <w:bCs/>
          <w:color w:val="auto"/>
          <w:sz w:val="36"/>
          <w:szCs w:val="36"/>
          <w:u w:val="single"/>
        </w:rPr>
      </w:pPr>
      <w:r w:rsidRPr="00A2611F">
        <w:rPr>
          <w:b/>
          <w:bCs/>
          <w:color w:val="auto"/>
          <w:sz w:val="40"/>
          <w:szCs w:val="40"/>
        </w:rPr>
        <w:br/>
      </w:r>
      <w:r w:rsidR="00A2611F" w:rsidRPr="00A2611F">
        <w:rPr>
          <w:b/>
          <w:bCs/>
          <w:color w:val="auto"/>
          <w:sz w:val="36"/>
          <w:szCs w:val="36"/>
          <w:u w:val="single"/>
        </w:rPr>
        <w:t xml:space="preserve">3 </w:t>
      </w:r>
      <w:r w:rsidR="00AA1D75">
        <w:rPr>
          <w:b/>
          <w:bCs/>
          <w:color w:val="auto"/>
          <w:sz w:val="36"/>
          <w:szCs w:val="36"/>
          <w:u w:val="single"/>
        </w:rPr>
        <w:t>Aldavida Mobility</w:t>
      </w:r>
      <w:r w:rsidR="00A2611F" w:rsidRPr="00A2611F">
        <w:rPr>
          <w:b/>
          <w:bCs/>
          <w:color w:val="auto"/>
          <w:sz w:val="36"/>
          <w:szCs w:val="36"/>
          <w:u w:val="single"/>
        </w:rPr>
        <w:t>Company Utility Patent</w:t>
      </w:r>
      <w:r w:rsidR="00AA1D75">
        <w:rPr>
          <w:b/>
          <w:bCs/>
          <w:color w:val="auto"/>
          <w:sz w:val="36"/>
          <w:szCs w:val="36"/>
          <w:u w:val="single"/>
        </w:rPr>
        <w:t>s</w:t>
      </w:r>
    </w:p>
    <w:p w14:paraId="4EC7A9C4" w14:textId="77777777" w:rsidR="00A2611F" w:rsidRDefault="00A2611F" w:rsidP="00B932F3">
      <w:pPr>
        <w:spacing w:line="240" w:lineRule="auto"/>
        <w:rPr>
          <w:b/>
          <w:bCs/>
          <w:i/>
          <w:iCs/>
          <w:sz w:val="28"/>
          <w:szCs w:val="28"/>
        </w:rPr>
      </w:pPr>
    </w:p>
    <w:p w14:paraId="38C607E8" w14:textId="79AC8C66" w:rsidR="00AA1D75" w:rsidRPr="00AA1D75" w:rsidRDefault="00AA1D75" w:rsidP="00B932F3">
      <w:pPr>
        <w:spacing w:line="240" w:lineRule="auto"/>
        <w:rPr>
          <w:sz w:val="28"/>
          <w:szCs w:val="28"/>
        </w:rPr>
      </w:pPr>
      <w:r>
        <w:rPr>
          <w:b/>
          <w:bCs/>
          <w:i/>
          <w:iCs/>
          <w:sz w:val="28"/>
          <w:szCs w:val="28"/>
        </w:rPr>
        <w:t xml:space="preserve">Aldavida Mobility </w:t>
      </w:r>
      <w:r>
        <w:rPr>
          <w:sz w:val="28"/>
          <w:szCs w:val="28"/>
        </w:rPr>
        <w:t xml:space="preserve">is a DBA under Aldavida Inc, an S-Corp based in Oregon.  The company’s 3 Utility Patents are currently assigned to the Aldavida Inc. Company.  </w:t>
      </w:r>
    </w:p>
    <w:p w14:paraId="09C0E5E5" w14:textId="0C238FC4" w:rsidR="007262C9" w:rsidRDefault="000F1285" w:rsidP="00B932F3">
      <w:pPr>
        <w:spacing w:line="240" w:lineRule="auto"/>
        <w:rPr>
          <w:sz w:val="20"/>
          <w:szCs w:val="20"/>
        </w:rPr>
      </w:pPr>
      <w:r w:rsidRPr="007262C9">
        <w:rPr>
          <w:b/>
          <w:bCs/>
          <w:i/>
          <w:iCs/>
          <w:sz w:val="28"/>
          <w:szCs w:val="28"/>
        </w:rPr>
        <w:t xml:space="preserve"> </w:t>
      </w:r>
      <w:r w:rsidR="00A2611F">
        <w:rPr>
          <w:b/>
          <w:bCs/>
          <w:i/>
          <w:iCs/>
          <w:sz w:val="28"/>
          <w:szCs w:val="28"/>
        </w:rPr>
        <w:t>A u</w:t>
      </w:r>
      <w:r w:rsidRPr="007262C9">
        <w:rPr>
          <w:b/>
          <w:bCs/>
          <w:i/>
          <w:iCs/>
          <w:sz w:val="28"/>
          <w:szCs w:val="28"/>
        </w:rPr>
        <w:t>tility patent in the United States is granted for a term of 20 years</w:t>
      </w:r>
      <w:r w:rsidRPr="007262C9">
        <w:rPr>
          <w:sz w:val="28"/>
          <w:szCs w:val="28"/>
        </w:rPr>
        <w:t xml:space="preserve"> from the date on which the application for the patent was filed. The clock starts ticking from the filing date of the application, not from the date of the patent's issuance. This means the effective life of a patent might be slightly less than 20 years since it usually takes some time for a patent to be granted after its initial filing.</w:t>
      </w:r>
      <w:r w:rsidR="007262C9" w:rsidRPr="007262C9">
        <w:rPr>
          <w:sz w:val="28"/>
          <w:szCs w:val="28"/>
        </w:rPr>
        <w:t xml:space="preserve"> </w:t>
      </w:r>
      <w:r w:rsidR="007262C9" w:rsidRPr="007262C9">
        <w:rPr>
          <w:sz w:val="20"/>
          <w:szCs w:val="20"/>
        </w:rPr>
        <w:t>(use patent number when looking up on google patents)</w:t>
      </w:r>
    </w:p>
    <w:p w14:paraId="653F2F6E" w14:textId="036BB4B1" w:rsidR="007262C9" w:rsidRPr="007262C9" w:rsidRDefault="007262C9"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sz w:val="20"/>
          <w:szCs w:val="20"/>
        </w:rPr>
      </w:pPr>
      <w:r>
        <w:rPr>
          <w:rFonts w:ascii="Segoe UI" w:hAnsi="Segoe UI" w:cs="Segoe UI"/>
          <w:b/>
          <w:bCs/>
          <w:color w:val="0D0D0D"/>
        </w:rPr>
        <w:t xml:space="preserve">                                  </w:t>
      </w:r>
      <w:r>
        <w:rPr>
          <w:rFonts w:ascii="Segoe UI" w:hAnsi="Segoe UI" w:cs="Segoe UI"/>
          <w:b/>
          <w:bCs/>
          <w:color w:val="0D0D0D"/>
        </w:rPr>
        <w:t>Our 3 Product lines:</w:t>
      </w:r>
    </w:p>
    <w:p w14:paraId="1D392C1B" w14:textId="151DBC3C" w:rsidR="00AF0910" w:rsidRDefault="00AF0910"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sidRPr="00AF0910">
        <w:rPr>
          <w:rFonts w:ascii="Segoe UI" w:hAnsi="Segoe UI" w:cs="Segoe UI"/>
          <w:b/>
          <w:bCs/>
          <w:color w:val="0D0D0D"/>
        </w:rPr>
        <w:t>GlideCycle</w:t>
      </w:r>
      <w:r>
        <w:rPr>
          <w:rFonts w:ascii="Segoe UI" w:hAnsi="Segoe UI" w:cs="Segoe UI"/>
          <w:color w:val="0D0D0D"/>
        </w:rPr>
        <w:t>: Good till 05/2028</w:t>
      </w:r>
    </w:p>
    <w:p w14:paraId="36CF5F79" w14:textId="01C429FE" w:rsidR="00AF0910" w:rsidRDefault="00AF0910" w:rsidP="00B932F3">
      <w:pPr>
        <w:autoSpaceDE w:val="0"/>
        <w:autoSpaceDN w:val="0"/>
        <w:adjustRightInd w:val="0"/>
        <w:spacing w:after="0" w:line="240" w:lineRule="auto"/>
        <w:rPr>
          <w:rFonts w:ascii="Arial" w:hAnsi="Arial" w:cs="Arial"/>
          <w:b/>
          <w:bCs/>
          <w:color w:val="818181"/>
          <w:kern w:val="0"/>
          <w:sz w:val="18"/>
          <w:szCs w:val="18"/>
        </w:rPr>
      </w:pPr>
      <w:r>
        <w:rPr>
          <w:rFonts w:ascii="Arial" w:hAnsi="Arial" w:cs="Arial"/>
          <w:b/>
          <w:bCs/>
          <w:color w:val="818181"/>
          <w:kern w:val="0"/>
          <w:sz w:val="18"/>
          <w:szCs w:val="18"/>
        </w:rPr>
        <w:t>PATENT #</w:t>
      </w:r>
      <w:r>
        <w:rPr>
          <w:rFonts w:ascii="Arial" w:hAnsi="Arial" w:cs="Arial"/>
          <w:b/>
          <w:bCs/>
          <w:color w:val="818181"/>
          <w:kern w:val="0"/>
          <w:sz w:val="18"/>
          <w:szCs w:val="18"/>
        </w:rPr>
        <w:t xml:space="preserve">     </w:t>
      </w:r>
      <w:r>
        <w:rPr>
          <w:rFonts w:ascii="Arial" w:hAnsi="Arial" w:cs="Arial"/>
          <w:b/>
          <w:bCs/>
          <w:color w:val="818181"/>
          <w:kern w:val="0"/>
          <w:sz w:val="18"/>
          <w:szCs w:val="18"/>
        </w:rPr>
        <w:t xml:space="preserve"> APPLICATION </w:t>
      </w:r>
      <w:r>
        <w:rPr>
          <w:rFonts w:ascii="Arial" w:hAnsi="Arial" w:cs="Arial"/>
          <w:b/>
          <w:bCs/>
          <w:color w:val="818181"/>
          <w:kern w:val="0"/>
          <w:sz w:val="18"/>
          <w:szCs w:val="18"/>
        </w:rPr>
        <w:t xml:space="preserve">      </w:t>
      </w:r>
      <w:r>
        <w:rPr>
          <w:rFonts w:ascii="Arial" w:hAnsi="Arial" w:cs="Arial"/>
          <w:b/>
          <w:bCs/>
          <w:color w:val="818181"/>
          <w:kern w:val="0"/>
          <w:sz w:val="18"/>
          <w:szCs w:val="18"/>
        </w:rPr>
        <w:t xml:space="preserve"># FILING DATE </w:t>
      </w:r>
      <w:r>
        <w:rPr>
          <w:rFonts w:ascii="Arial" w:hAnsi="Arial" w:cs="Arial"/>
          <w:b/>
          <w:bCs/>
          <w:color w:val="818181"/>
          <w:kern w:val="0"/>
          <w:sz w:val="18"/>
          <w:szCs w:val="18"/>
        </w:rPr>
        <w:t xml:space="preserve">       </w:t>
      </w:r>
      <w:r>
        <w:rPr>
          <w:rFonts w:ascii="Arial" w:hAnsi="Arial" w:cs="Arial"/>
          <w:b/>
          <w:bCs/>
          <w:color w:val="818181"/>
          <w:kern w:val="0"/>
          <w:sz w:val="18"/>
          <w:szCs w:val="18"/>
        </w:rPr>
        <w:t>ISSUE DATE</w:t>
      </w:r>
    </w:p>
    <w:p w14:paraId="2EE2B958" w14:textId="77777777" w:rsidR="00AF0910" w:rsidRDefault="00AF0910" w:rsidP="00B932F3">
      <w:pPr>
        <w:autoSpaceDE w:val="0"/>
        <w:autoSpaceDN w:val="0"/>
        <w:adjustRightInd w:val="0"/>
        <w:spacing w:after="0" w:line="240" w:lineRule="auto"/>
        <w:rPr>
          <w:rFonts w:ascii="Arial" w:hAnsi="Arial" w:cs="Arial"/>
          <w:b/>
          <w:bCs/>
          <w:color w:val="818181"/>
          <w:kern w:val="0"/>
          <w:sz w:val="18"/>
          <w:szCs w:val="18"/>
        </w:rPr>
      </w:pPr>
    </w:p>
    <w:p w14:paraId="7069A308" w14:textId="7F832C68" w:rsidR="00AF0910" w:rsidRDefault="00AF0910"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Arial" w:hAnsi="Arial" w:cs="Arial"/>
          <w:color w:val="000000"/>
          <w:sz w:val="20"/>
          <w:szCs w:val="20"/>
        </w:rPr>
        <w:t>7900940</w:t>
      </w:r>
      <w:r>
        <w:rPr>
          <w:rFonts w:ascii="Arial" w:hAnsi="Arial" w:cs="Arial"/>
          <w:color w:val="000000"/>
          <w:sz w:val="20"/>
          <w:szCs w:val="20"/>
        </w:rPr>
        <w:t xml:space="preserve">      </w:t>
      </w:r>
      <w:r>
        <w:rPr>
          <w:rFonts w:ascii="Arial" w:hAnsi="Arial" w:cs="Arial"/>
          <w:color w:val="000000"/>
          <w:sz w:val="20"/>
          <w:szCs w:val="20"/>
        </w:rPr>
        <w:t xml:space="preserve"> 12156174 </w:t>
      </w:r>
      <w:r>
        <w:rPr>
          <w:rFonts w:ascii="Arial" w:hAnsi="Arial" w:cs="Arial"/>
          <w:color w:val="000000"/>
          <w:sz w:val="20"/>
          <w:szCs w:val="20"/>
        </w:rPr>
        <w:t xml:space="preserve">            </w:t>
      </w:r>
      <w:r>
        <w:rPr>
          <w:rFonts w:ascii="Arial" w:hAnsi="Arial" w:cs="Arial"/>
          <w:color w:val="000000"/>
          <w:sz w:val="20"/>
          <w:szCs w:val="20"/>
        </w:rPr>
        <w:t xml:space="preserve">05/30/2008 </w:t>
      </w:r>
      <w:r>
        <w:rPr>
          <w:rFonts w:ascii="Arial" w:hAnsi="Arial" w:cs="Arial"/>
          <w:color w:val="000000"/>
          <w:sz w:val="20"/>
          <w:szCs w:val="20"/>
        </w:rPr>
        <w:t xml:space="preserve">          </w:t>
      </w:r>
      <w:r>
        <w:rPr>
          <w:rFonts w:ascii="Arial" w:hAnsi="Arial" w:cs="Arial"/>
          <w:color w:val="000000"/>
          <w:sz w:val="20"/>
          <w:szCs w:val="20"/>
        </w:rPr>
        <w:t>03/08/2011</w:t>
      </w:r>
    </w:p>
    <w:p w14:paraId="44060822" w14:textId="0C0A92B2" w:rsidR="00AF0910" w:rsidRPr="00AF0910" w:rsidRDefault="00AF0910"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AF0910">
        <w:rPr>
          <w:rFonts w:ascii="Segoe UI" w:hAnsi="Segoe UI" w:cs="Segoe UI"/>
          <w:b/>
          <w:bCs/>
          <w:color w:val="0D0D0D"/>
        </w:rPr>
        <w:t>GlideTra</w:t>
      </w:r>
      <w:r>
        <w:rPr>
          <w:rFonts w:ascii="Segoe UI" w:hAnsi="Segoe UI" w:cs="Segoe UI"/>
          <w:b/>
          <w:bCs/>
          <w:color w:val="0D0D0D"/>
        </w:rPr>
        <w:t xml:space="preserve">k: </w:t>
      </w:r>
      <w:r>
        <w:rPr>
          <w:rFonts w:ascii="Segoe UI" w:hAnsi="Segoe UI" w:cs="Segoe UI"/>
          <w:color w:val="0D0D0D"/>
        </w:rPr>
        <w:t xml:space="preserve"> Good till </w:t>
      </w:r>
      <w:r w:rsidR="007262C9">
        <w:rPr>
          <w:rFonts w:ascii="Segoe UI" w:hAnsi="Segoe UI" w:cs="Segoe UI"/>
          <w:color w:val="0D0D0D"/>
        </w:rPr>
        <w:t>01/</w:t>
      </w:r>
      <w:r>
        <w:rPr>
          <w:rFonts w:ascii="Segoe UI" w:hAnsi="Segoe UI" w:cs="Segoe UI"/>
          <w:color w:val="0D0D0D"/>
        </w:rPr>
        <w:t>2032</w:t>
      </w:r>
    </w:p>
    <w:p w14:paraId="3CF420A9" w14:textId="3FBBFD2B" w:rsidR="00AF0910" w:rsidRDefault="00AF0910" w:rsidP="00B932F3">
      <w:pPr>
        <w:autoSpaceDE w:val="0"/>
        <w:autoSpaceDN w:val="0"/>
        <w:adjustRightInd w:val="0"/>
        <w:spacing w:after="0" w:line="240" w:lineRule="auto"/>
        <w:rPr>
          <w:rFonts w:ascii="Arial" w:hAnsi="Arial" w:cs="Arial"/>
          <w:b/>
          <w:bCs/>
          <w:color w:val="818181"/>
          <w:kern w:val="0"/>
          <w:sz w:val="18"/>
          <w:szCs w:val="18"/>
        </w:rPr>
      </w:pPr>
      <w:r>
        <w:rPr>
          <w:rFonts w:ascii="Arial" w:hAnsi="Arial" w:cs="Arial"/>
          <w:b/>
          <w:bCs/>
          <w:color w:val="818181"/>
          <w:kern w:val="0"/>
          <w:sz w:val="18"/>
          <w:szCs w:val="18"/>
        </w:rPr>
        <w:t xml:space="preserve">PATENT # </w:t>
      </w:r>
      <w:r>
        <w:rPr>
          <w:rFonts w:ascii="Arial" w:hAnsi="Arial" w:cs="Arial"/>
          <w:b/>
          <w:bCs/>
          <w:color w:val="818181"/>
          <w:kern w:val="0"/>
          <w:sz w:val="18"/>
          <w:szCs w:val="18"/>
        </w:rPr>
        <w:t xml:space="preserve">        </w:t>
      </w:r>
      <w:r>
        <w:rPr>
          <w:rFonts w:ascii="Arial" w:hAnsi="Arial" w:cs="Arial"/>
          <w:b/>
          <w:bCs/>
          <w:color w:val="818181"/>
          <w:kern w:val="0"/>
          <w:sz w:val="18"/>
          <w:szCs w:val="18"/>
        </w:rPr>
        <w:t xml:space="preserve">APPLICATION # </w:t>
      </w:r>
      <w:r>
        <w:rPr>
          <w:rFonts w:ascii="Arial" w:hAnsi="Arial" w:cs="Arial"/>
          <w:b/>
          <w:bCs/>
          <w:color w:val="818181"/>
          <w:kern w:val="0"/>
          <w:sz w:val="18"/>
          <w:szCs w:val="18"/>
        </w:rPr>
        <w:t xml:space="preserve">       </w:t>
      </w:r>
      <w:r>
        <w:rPr>
          <w:rFonts w:ascii="Arial" w:hAnsi="Arial" w:cs="Arial"/>
          <w:b/>
          <w:bCs/>
          <w:color w:val="818181"/>
          <w:kern w:val="0"/>
          <w:sz w:val="18"/>
          <w:szCs w:val="18"/>
        </w:rPr>
        <w:t>FILING DATE</w:t>
      </w:r>
      <w:r>
        <w:rPr>
          <w:rFonts w:ascii="Arial" w:hAnsi="Arial" w:cs="Arial"/>
          <w:b/>
          <w:bCs/>
          <w:color w:val="818181"/>
          <w:kern w:val="0"/>
          <w:sz w:val="18"/>
          <w:szCs w:val="18"/>
        </w:rPr>
        <w:t xml:space="preserve">     </w:t>
      </w:r>
      <w:r>
        <w:rPr>
          <w:rFonts w:ascii="Arial" w:hAnsi="Arial" w:cs="Arial"/>
          <w:b/>
          <w:bCs/>
          <w:color w:val="818181"/>
          <w:kern w:val="0"/>
          <w:sz w:val="18"/>
          <w:szCs w:val="18"/>
        </w:rPr>
        <w:t xml:space="preserve"> ISSUE DATE</w:t>
      </w:r>
    </w:p>
    <w:p w14:paraId="089E90CE" w14:textId="18441403" w:rsidR="00AF0910" w:rsidRDefault="00AF0910"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00000"/>
          <w:sz w:val="20"/>
          <w:szCs w:val="20"/>
        </w:rPr>
      </w:pPr>
      <w:r>
        <w:rPr>
          <w:rFonts w:ascii="Arial" w:hAnsi="Arial" w:cs="Arial"/>
          <w:color w:val="000000"/>
          <w:sz w:val="20"/>
          <w:szCs w:val="20"/>
        </w:rPr>
        <w:t xml:space="preserve">8968163 </w:t>
      </w:r>
      <w:r>
        <w:rPr>
          <w:rFonts w:ascii="Arial" w:hAnsi="Arial" w:cs="Arial"/>
          <w:color w:val="000000"/>
          <w:sz w:val="20"/>
          <w:szCs w:val="20"/>
        </w:rPr>
        <w:t xml:space="preserve">           </w:t>
      </w:r>
      <w:r>
        <w:rPr>
          <w:rFonts w:ascii="Arial" w:hAnsi="Arial" w:cs="Arial"/>
          <w:color w:val="000000"/>
          <w:sz w:val="20"/>
          <w:szCs w:val="20"/>
        </w:rPr>
        <w:t>13363161</w:t>
      </w:r>
      <w:r>
        <w:rPr>
          <w:rFonts w:ascii="Arial" w:hAnsi="Arial" w:cs="Arial"/>
          <w:color w:val="000000"/>
          <w:sz w:val="20"/>
          <w:szCs w:val="20"/>
        </w:rPr>
        <w:t xml:space="preserve">             </w:t>
      </w:r>
      <w:r>
        <w:rPr>
          <w:rFonts w:ascii="Arial" w:hAnsi="Arial" w:cs="Arial"/>
          <w:color w:val="000000"/>
          <w:sz w:val="20"/>
          <w:szCs w:val="20"/>
        </w:rPr>
        <w:t xml:space="preserve"> 01/31/2012 </w:t>
      </w:r>
      <w:r>
        <w:rPr>
          <w:rFonts w:ascii="Arial" w:hAnsi="Arial" w:cs="Arial"/>
          <w:color w:val="000000"/>
          <w:sz w:val="20"/>
          <w:szCs w:val="20"/>
        </w:rPr>
        <w:t xml:space="preserve">        </w:t>
      </w:r>
      <w:r>
        <w:rPr>
          <w:rFonts w:ascii="Arial" w:hAnsi="Arial" w:cs="Arial"/>
          <w:color w:val="000000"/>
          <w:sz w:val="20"/>
          <w:szCs w:val="20"/>
        </w:rPr>
        <w:t>03/03/2015</w:t>
      </w:r>
    </w:p>
    <w:p w14:paraId="261376EF" w14:textId="24FC366D" w:rsidR="00A539CB" w:rsidRPr="007262C9" w:rsidRDefault="007262C9"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00000"/>
          <w:sz w:val="20"/>
          <w:szCs w:val="20"/>
        </w:rPr>
      </w:pPr>
      <w:r w:rsidRPr="007262C9">
        <w:rPr>
          <w:rFonts w:ascii="Arial" w:hAnsi="Arial" w:cs="Arial"/>
          <w:b/>
          <w:bCs/>
          <w:color w:val="000000"/>
          <w:sz w:val="20"/>
          <w:szCs w:val="20"/>
        </w:rPr>
        <w:t>GlideStation Work</w:t>
      </w:r>
      <w:r>
        <w:rPr>
          <w:rFonts w:ascii="Arial" w:hAnsi="Arial" w:cs="Arial"/>
          <w:b/>
          <w:bCs/>
          <w:color w:val="000000"/>
          <w:sz w:val="20"/>
          <w:szCs w:val="20"/>
        </w:rPr>
        <w:t xml:space="preserve">: </w:t>
      </w:r>
      <w:r w:rsidRPr="007262C9">
        <w:rPr>
          <w:rFonts w:ascii="Arial" w:hAnsi="Arial" w:cs="Arial"/>
          <w:color w:val="000000"/>
          <w:sz w:val="20"/>
          <w:szCs w:val="20"/>
        </w:rPr>
        <w:t>Good till</w:t>
      </w:r>
      <w:r>
        <w:rPr>
          <w:rFonts w:ascii="Arial" w:hAnsi="Arial" w:cs="Arial"/>
          <w:color w:val="000000"/>
          <w:sz w:val="20"/>
          <w:szCs w:val="20"/>
        </w:rPr>
        <w:t xml:space="preserve"> 09/2036</w:t>
      </w:r>
    </w:p>
    <w:p w14:paraId="646F32EF" w14:textId="3AE44CDB" w:rsidR="00A539CB" w:rsidRPr="00A539CB" w:rsidRDefault="00A539CB"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sz w:val="18"/>
          <w:szCs w:val="18"/>
        </w:rPr>
      </w:pPr>
      <w:r w:rsidRPr="00A539CB">
        <w:rPr>
          <w:rFonts w:ascii="Segoe UI" w:hAnsi="Segoe UI" w:cs="Segoe UI"/>
          <w:color w:val="0D0D0D"/>
          <w:sz w:val="18"/>
          <w:szCs w:val="18"/>
        </w:rPr>
        <w:t xml:space="preserve">PATENT # </w:t>
      </w:r>
      <w:r w:rsidRPr="00A539CB">
        <w:rPr>
          <w:rFonts w:ascii="Segoe UI" w:hAnsi="Segoe UI" w:cs="Segoe UI"/>
          <w:color w:val="0D0D0D"/>
          <w:sz w:val="18"/>
          <w:szCs w:val="18"/>
        </w:rPr>
        <w:t xml:space="preserve">     </w:t>
      </w:r>
      <w:r w:rsidRPr="00A539CB">
        <w:rPr>
          <w:rFonts w:ascii="Segoe UI" w:hAnsi="Segoe UI" w:cs="Segoe UI"/>
          <w:color w:val="0D0D0D"/>
          <w:sz w:val="18"/>
          <w:szCs w:val="18"/>
        </w:rPr>
        <w:t xml:space="preserve">APPLICATION # </w:t>
      </w:r>
      <w:r w:rsidRPr="00A539CB">
        <w:rPr>
          <w:rFonts w:ascii="Segoe UI" w:hAnsi="Segoe UI" w:cs="Segoe UI"/>
          <w:color w:val="0D0D0D"/>
          <w:sz w:val="18"/>
          <w:szCs w:val="18"/>
        </w:rPr>
        <w:t xml:space="preserve">    </w:t>
      </w:r>
      <w:r w:rsidRPr="00A539CB">
        <w:rPr>
          <w:rFonts w:ascii="Segoe UI" w:hAnsi="Segoe UI" w:cs="Segoe UI"/>
          <w:color w:val="0D0D0D"/>
          <w:sz w:val="18"/>
          <w:szCs w:val="18"/>
        </w:rPr>
        <w:t xml:space="preserve">FILING DATE </w:t>
      </w:r>
      <w:r w:rsidRPr="00A539CB">
        <w:rPr>
          <w:rFonts w:ascii="Segoe UI" w:hAnsi="Segoe UI" w:cs="Segoe UI"/>
          <w:color w:val="0D0D0D"/>
          <w:sz w:val="18"/>
          <w:szCs w:val="18"/>
        </w:rPr>
        <w:t xml:space="preserve">   </w:t>
      </w:r>
      <w:r w:rsidRPr="00A539CB">
        <w:rPr>
          <w:rFonts w:ascii="Segoe UI" w:hAnsi="Segoe UI" w:cs="Segoe UI"/>
          <w:color w:val="0D0D0D"/>
          <w:sz w:val="18"/>
          <w:szCs w:val="18"/>
        </w:rPr>
        <w:t>ISSUE DATE</w:t>
      </w:r>
    </w:p>
    <w:p w14:paraId="61A4310B" w14:textId="0D24C56A" w:rsidR="00A539CB" w:rsidRPr="00A539CB" w:rsidRDefault="00A539CB"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A539CB">
        <w:rPr>
          <w:rFonts w:ascii="Segoe UI" w:hAnsi="Segoe UI" w:cs="Segoe UI"/>
          <w:color w:val="0D0D0D"/>
          <w:sz w:val="18"/>
          <w:szCs w:val="18"/>
        </w:rPr>
        <w:t>9827162</w:t>
      </w:r>
      <w:r w:rsidRPr="00A539CB">
        <w:rPr>
          <w:rFonts w:ascii="Segoe UI" w:hAnsi="Segoe UI" w:cs="Segoe UI"/>
          <w:color w:val="0D0D0D"/>
          <w:sz w:val="18"/>
          <w:szCs w:val="18"/>
        </w:rPr>
        <w:t xml:space="preserve">       </w:t>
      </w:r>
      <w:r w:rsidRPr="00A539CB">
        <w:rPr>
          <w:rFonts w:ascii="Segoe UI" w:hAnsi="Segoe UI" w:cs="Segoe UI"/>
          <w:color w:val="0D0D0D"/>
          <w:sz w:val="18"/>
          <w:szCs w:val="18"/>
        </w:rPr>
        <w:t xml:space="preserve"> 15265440 </w:t>
      </w:r>
      <w:r w:rsidRPr="00A539CB">
        <w:rPr>
          <w:rFonts w:ascii="Segoe UI" w:hAnsi="Segoe UI" w:cs="Segoe UI"/>
          <w:color w:val="0D0D0D"/>
          <w:sz w:val="18"/>
          <w:szCs w:val="18"/>
        </w:rPr>
        <w:t xml:space="preserve">               </w:t>
      </w:r>
      <w:r w:rsidRPr="00A539CB">
        <w:rPr>
          <w:rFonts w:ascii="Segoe UI" w:hAnsi="Segoe UI" w:cs="Segoe UI"/>
          <w:color w:val="0D0D0D"/>
          <w:sz w:val="18"/>
          <w:szCs w:val="18"/>
        </w:rPr>
        <w:t xml:space="preserve">09/14/2016 </w:t>
      </w:r>
      <w:r w:rsidRPr="00A539CB">
        <w:rPr>
          <w:rFonts w:ascii="Segoe UI" w:hAnsi="Segoe UI" w:cs="Segoe UI"/>
          <w:color w:val="0D0D0D"/>
          <w:sz w:val="18"/>
          <w:szCs w:val="18"/>
        </w:rPr>
        <w:t xml:space="preserve">     </w:t>
      </w:r>
      <w:r w:rsidRPr="00A539CB">
        <w:rPr>
          <w:rFonts w:ascii="Segoe UI" w:hAnsi="Segoe UI" w:cs="Segoe UI"/>
          <w:color w:val="0D0D0D"/>
          <w:sz w:val="18"/>
          <w:szCs w:val="18"/>
        </w:rPr>
        <w:t>11/28/2017</w:t>
      </w:r>
    </w:p>
    <w:p w14:paraId="060355AC" w14:textId="47CAA418" w:rsidR="000F1285" w:rsidRDefault="000F1285"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7262C9">
        <w:rPr>
          <w:rFonts w:ascii="Segoe UI" w:hAnsi="Segoe UI" w:cs="Segoe UI"/>
          <w:b/>
          <w:bCs/>
          <w:color w:val="0D0D0D"/>
        </w:rPr>
        <w:t>To enhance the protection of a core</w:t>
      </w:r>
      <w:r>
        <w:rPr>
          <w:rFonts w:ascii="Segoe UI" w:hAnsi="Segoe UI" w:cs="Segoe UI"/>
          <w:color w:val="0D0D0D"/>
        </w:rPr>
        <w:t xml:space="preserve"> invention and potentially extend the commercial exclusivity beyond the life of the original patent, companies can develop a "patent universe" around the original patent. This strategy involves filing additional patents related to improvements, new uses, or variations of the original invention. These additional patents can be derived from subsequent research and development efforts, further innovations, or even different applications of the original technology.</w:t>
      </w:r>
    </w:p>
    <w:p w14:paraId="48FA4F59" w14:textId="77777777" w:rsidR="000F1285" w:rsidRDefault="000F1285"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Building a patent universe around an original patent serves several strategic purposes:</w:t>
      </w:r>
    </w:p>
    <w:p w14:paraId="45C2D516" w14:textId="77777777" w:rsidR="000F1285" w:rsidRDefault="000F1285" w:rsidP="00B932F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lastRenderedPageBreak/>
        <w:t>Layered Protection</w:t>
      </w:r>
      <w:r>
        <w:rPr>
          <w:rFonts w:ascii="Segoe UI" w:hAnsi="Segoe UI" w:cs="Segoe UI"/>
          <w:color w:val="0D0D0D"/>
        </w:rPr>
        <w:t>: By covering various aspects and improvements of the technology, a company can create barriers against competitors who might seek to design around the original patent. Each new patent in the universe can potentially block alternative ways to achieve a similar outcome.</w:t>
      </w:r>
    </w:p>
    <w:p w14:paraId="5E7578F8" w14:textId="77777777" w:rsidR="000F1285" w:rsidRDefault="000F1285" w:rsidP="00B932F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Extended Timeframe</w:t>
      </w:r>
      <w:r>
        <w:rPr>
          <w:rFonts w:ascii="Segoe UI" w:hAnsi="Segoe UI" w:cs="Segoe UI"/>
          <w:color w:val="0D0D0D"/>
        </w:rPr>
        <w:t>: Since each new patent has its own 20-year term starting from its filing date, this strategy can effectively extend protection beyond the expiration of the original patent. Newer patents can keep parts of the technology under patent protection for longer periods, which is crucial for maintaining competitive advantage.</w:t>
      </w:r>
    </w:p>
    <w:p w14:paraId="5BAEA2FA" w14:textId="77777777" w:rsidR="000F1285" w:rsidRDefault="000F1285" w:rsidP="00B932F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Market Dominance</w:t>
      </w:r>
      <w:r>
        <w:rPr>
          <w:rFonts w:ascii="Segoe UI" w:hAnsi="Segoe UI" w:cs="Segoe UI"/>
          <w:color w:val="0D0D0D"/>
        </w:rPr>
        <w:t>: A robust patent portfolio can help a company establish and maintain a dominant position in the market. It can also be an important asset in negotiations, such as in licensing deals or partnerships.</w:t>
      </w:r>
    </w:p>
    <w:p w14:paraId="55AF2557" w14:textId="77777777" w:rsidR="000F1285" w:rsidRDefault="000F1285" w:rsidP="00B932F3">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Increased Valuation</w:t>
      </w:r>
      <w:r>
        <w:rPr>
          <w:rFonts w:ascii="Segoe UI" w:hAnsi="Segoe UI" w:cs="Segoe UI"/>
          <w:color w:val="0D0D0D"/>
        </w:rPr>
        <w:t>: A comprehensive patent portfolio can significantly increase a company’s valuation, making it more attractive to investors and partners. It demonstrates a serious commitment to innovation and the long-term viability of the company’s products.</w:t>
      </w:r>
    </w:p>
    <w:p w14:paraId="5000C598" w14:textId="50668C98" w:rsidR="007262C9" w:rsidRPr="007262C9" w:rsidRDefault="007262C9"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b/>
          <w:bCs/>
          <w:color w:val="0D0D0D"/>
        </w:rPr>
      </w:pPr>
      <w:r w:rsidRPr="007262C9">
        <w:rPr>
          <w:rFonts w:ascii="Segoe UI" w:hAnsi="Segoe UI" w:cs="Segoe UI"/>
          <w:b/>
          <w:bCs/>
          <w:color w:val="0D0D0D"/>
        </w:rPr>
        <w:t>Conclusion:</w:t>
      </w:r>
    </w:p>
    <w:p w14:paraId="3B385040" w14:textId="7AC0C2DE" w:rsidR="000F1285" w:rsidRDefault="000F1285" w:rsidP="00B932F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Overall, the creation of a patent universe is a sophisticated strategy that can help maximize the return on investment in research and development by prolonging the period during which a company can</w:t>
      </w:r>
      <w:r>
        <w:rPr>
          <w:rFonts w:ascii="Segoe UI" w:hAnsi="Segoe UI" w:cs="Segoe UI"/>
          <w:color w:val="0D0D0D"/>
        </w:rPr>
        <w:t xml:space="preserve">  </w:t>
      </w:r>
      <w:r>
        <w:rPr>
          <w:rFonts w:ascii="Segoe UI" w:hAnsi="Segoe UI" w:cs="Segoe UI"/>
          <w:color w:val="0D0D0D"/>
          <w:shd w:val="clear" w:color="auto" w:fill="FFFFFF"/>
        </w:rPr>
        <w:t>uniquely benefit from its innovations</w:t>
      </w:r>
    </w:p>
    <w:p w14:paraId="6F5735D0" w14:textId="77777777" w:rsidR="000F1285" w:rsidRDefault="000F1285" w:rsidP="00B932F3">
      <w:pPr>
        <w:spacing w:line="240" w:lineRule="auto"/>
      </w:pPr>
    </w:p>
    <w:p w14:paraId="00281064" w14:textId="77777777" w:rsidR="00A2611F" w:rsidRDefault="00A2611F" w:rsidP="00B932F3">
      <w:pPr>
        <w:spacing w:line="240" w:lineRule="auto"/>
      </w:pPr>
    </w:p>
    <w:p w14:paraId="33A3F192" w14:textId="24535DE9" w:rsidR="00A2611F" w:rsidRDefault="00A2611F" w:rsidP="00B932F3">
      <w:pPr>
        <w:pStyle w:val="Heading1"/>
        <w:spacing w:line="240" w:lineRule="auto"/>
        <w:jc w:val="center"/>
        <w:rPr>
          <w:b/>
          <w:bCs/>
          <w:color w:val="auto"/>
          <w:u w:val="single"/>
        </w:rPr>
      </w:pPr>
      <w:r w:rsidRPr="00A2611F">
        <w:rPr>
          <w:b/>
          <w:bCs/>
          <w:color w:val="auto"/>
          <w:u w:val="single"/>
        </w:rPr>
        <w:t>FDA Medical Device Registration</w:t>
      </w:r>
    </w:p>
    <w:p w14:paraId="2D7C3BA3" w14:textId="77777777" w:rsidR="00BC5800" w:rsidRDefault="00BC5800" w:rsidP="00B932F3">
      <w:pPr>
        <w:spacing w:line="240" w:lineRule="auto"/>
      </w:pPr>
    </w:p>
    <w:p w14:paraId="53C74558" w14:textId="01BC8A90" w:rsidR="00BC5800" w:rsidRPr="00BC5800" w:rsidRDefault="00BC5800" w:rsidP="00B932F3">
      <w:pPr>
        <w:spacing w:line="240" w:lineRule="auto"/>
        <w:rPr>
          <w:sz w:val="28"/>
          <w:szCs w:val="28"/>
        </w:rPr>
      </w:pPr>
      <w:r w:rsidRPr="00BC5800">
        <w:rPr>
          <w:sz w:val="28"/>
          <w:szCs w:val="28"/>
        </w:rPr>
        <w:t xml:space="preserve">To reinstate </w:t>
      </w:r>
      <w:r w:rsidR="00B932F3">
        <w:rPr>
          <w:sz w:val="28"/>
          <w:szCs w:val="28"/>
        </w:rPr>
        <w:t>our</w:t>
      </w:r>
      <w:r w:rsidRPr="00BC5800">
        <w:rPr>
          <w:sz w:val="28"/>
          <w:szCs w:val="28"/>
        </w:rPr>
        <w:t xml:space="preserve"> inactive FDA medical device registration </w:t>
      </w:r>
      <w:r w:rsidR="00B932F3">
        <w:rPr>
          <w:sz w:val="28"/>
          <w:szCs w:val="28"/>
        </w:rPr>
        <w:t>which</w:t>
      </w:r>
      <w:r w:rsidRPr="00BC5800">
        <w:rPr>
          <w:sz w:val="28"/>
          <w:szCs w:val="28"/>
        </w:rPr>
        <w:t xml:space="preserve"> was previously based on a Substantial Equivalence to </w:t>
      </w:r>
      <w:r w:rsidR="00B932F3">
        <w:rPr>
          <w:sz w:val="28"/>
          <w:szCs w:val="28"/>
        </w:rPr>
        <w:t xml:space="preserve">the Alter G </w:t>
      </w:r>
      <w:r w:rsidRPr="00BC5800">
        <w:rPr>
          <w:sz w:val="28"/>
          <w:szCs w:val="28"/>
        </w:rPr>
        <w:t xml:space="preserve"> (which </w:t>
      </w:r>
      <w:r w:rsidR="00B932F3">
        <w:rPr>
          <w:sz w:val="28"/>
          <w:szCs w:val="28"/>
        </w:rPr>
        <w:t>received</w:t>
      </w:r>
      <w:r w:rsidRPr="00BC5800">
        <w:rPr>
          <w:sz w:val="28"/>
          <w:szCs w:val="28"/>
        </w:rPr>
        <w:t xml:space="preserve"> the 510(k) </w:t>
      </w:r>
      <w:r w:rsidR="00FA1BD4">
        <w:rPr>
          <w:sz w:val="28"/>
          <w:szCs w:val="28"/>
        </w:rPr>
        <w:t>Clearance</w:t>
      </w:r>
      <w:r w:rsidRPr="00BC5800">
        <w:rPr>
          <w:sz w:val="28"/>
          <w:szCs w:val="28"/>
        </w:rPr>
        <w:t xml:space="preserve">), </w:t>
      </w:r>
      <w:r>
        <w:rPr>
          <w:sz w:val="28"/>
          <w:szCs w:val="28"/>
        </w:rPr>
        <w:t>we</w:t>
      </w:r>
      <w:r w:rsidRPr="00BC5800">
        <w:rPr>
          <w:sz w:val="28"/>
          <w:szCs w:val="28"/>
        </w:rPr>
        <w:t xml:space="preserve"> need to</w:t>
      </w:r>
      <w:r>
        <w:rPr>
          <w:sz w:val="28"/>
          <w:szCs w:val="28"/>
        </w:rPr>
        <w:t xml:space="preserve"> </w:t>
      </w:r>
      <w:r w:rsidRPr="00BC5800">
        <w:rPr>
          <w:sz w:val="28"/>
          <w:szCs w:val="28"/>
        </w:rPr>
        <w:t xml:space="preserve">follow </w:t>
      </w:r>
      <w:r w:rsidR="00FA1BD4">
        <w:rPr>
          <w:sz w:val="28"/>
          <w:szCs w:val="28"/>
        </w:rPr>
        <w:t xml:space="preserve">these </w:t>
      </w:r>
      <w:r w:rsidRPr="00BC5800">
        <w:rPr>
          <w:sz w:val="28"/>
          <w:szCs w:val="28"/>
        </w:rPr>
        <w:t>specific steps to ensure compliance with the FDA's current regulations</w:t>
      </w:r>
      <w:r w:rsidR="00FA1BD4">
        <w:rPr>
          <w:sz w:val="28"/>
          <w:szCs w:val="28"/>
        </w:rPr>
        <w:t>:</w:t>
      </w:r>
    </w:p>
    <w:p w14:paraId="30E48E4E" w14:textId="391C787A" w:rsidR="00BC5800" w:rsidRPr="00BC5800" w:rsidRDefault="00BC5800" w:rsidP="00B932F3">
      <w:pPr>
        <w:spacing w:line="240" w:lineRule="auto"/>
        <w:rPr>
          <w:sz w:val="28"/>
          <w:szCs w:val="28"/>
        </w:rPr>
      </w:pPr>
      <w:r w:rsidRPr="00BC5800">
        <w:rPr>
          <w:sz w:val="28"/>
          <w:szCs w:val="28"/>
        </w:rPr>
        <w:t>1. Review the Current Status: First, confirm the exact status of your registration by logging into your account on the FDA's registration and listing system</w:t>
      </w:r>
    </w:p>
    <w:p w14:paraId="26E35121" w14:textId="1446A2B6" w:rsidR="00BC5800" w:rsidRPr="00BC5800" w:rsidRDefault="00BC5800" w:rsidP="00B932F3">
      <w:pPr>
        <w:spacing w:line="240" w:lineRule="auto"/>
        <w:rPr>
          <w:sz w:val="28"/>
          <w:szCs w:val="28"/>
        </w:rPr>
      </w:pPr>
      <w:r w:rsidRPr="00BC5800">
        <w:rPr>
          <w:sz w:val="28"/>
          <w:szCs w:val="28"/>
        </w:rPr>
        <w:t xml:space="preserve">2. Update Any Changes: </w:t>
      </w:r>
      <w:r>
        <w:rPr>
          <w:sz w:val="28"/>
          <w:szCs w:val="28"/>
        </w:rPr>
        <w:t>There are no changes except the location of building the equipment.</w:t>
      </w:r>
    </w:p>
    <w:p w14:paraId="144400A2" w14:textId="74DCE80C" w:rsidR="00BC5800" w:rsidRPr="00BC5800" w:rsidRDefault="00BC5800" w:rsidP="00B932F3">
      <w:pPr>
        <w:spacing w:line="240" w:lineRule="auto"/>
        <w:rPr>
          <w:sz w:val="28"/>
          <w:szCs w:val="28"/>
        </w:rPr>
      </w:pPr>
      <w:r w:rsidRPr="00BC5800">
        <w:rPr>
          <w:sz w:val="28"/>
          <w:szCs w:val="28"/>
        </w:rPr>
        <w:lastRenderedPageBreak/>
        <w:t xml:space="preserve">3. Pay Outstanding Fees: </w:t>
      </w:r>
      <w:r>
        <w:rPr>
          <w:sz w:val="28"/>
          <w:szCs w:val="28"/>
        </w:rPr>
        <w:t>Since the</w:t>
      </w:r>
      <w:r w:rsidRPr="00BC5800">
        <w:rPr>
          <w:sz w:val="28"/>
          <w:szCs w:val="28"/>
        </w:rPr>
        <w:t xml:space="preserve"> registration is simply inactive due to non-payment of the annual establishment registration fee, you will need to pay any outstanding fees for the current fiscal year. </w:t>
      </w:r>
      <w:r>
        <w:rPr>
          <w:sz w:val="28"/>
          <w:szCs w:val="28"/>
        </w:rPr>
        <w:t xml:space="preserve"> Current  cost: $7653</w:t>
      </w:r>
    </w:p>
    <w:p w14:paraId="56F7C7C8" w14:textId="74861E2A" w:rsidR="00BC5800" w:rsidRPr="00BC5800" w:rsidRDefault="00BC5800" w:rsidP="00B932F3">
      <w:pPr>
        <w:spacing w:line="240" w:lineRule="auto"/>
        <w:rPr>
          <w:sz w:val="28"/>
          <w:szCs w:val="28"/>
        </w:rPr>
      </w:pPr>
      <w:r>
        <w:rPr>
          <w:sz w:val="28"/>
          <w:szCs w:val="28"/>
        </w:rPr>
        <w:t>4</w:t>
      </w:r>
      <w:r w:rsidRPr="00BC5800">
        <w:rPr>
          <w:sz w:val="28"/>
          <w:szCs w:val="28"/>
        </w:rPr>
        <w:t>. Reassessment of Regulatory Compliance: Ensure that your device still complies with all applicable FDA regulations. This may</w:t>
      </w:r>
      <w:r>
        <w:rPr>
          <w:sz w:val="28"/>
          <w:szCs w:val="28"/>
        </w:rPr>
        <w:t xml:space="preserve"> now</w:t>
      </w:r>
      <w:r w:rsidRPr="00BC5800">
        <w:rPr>
          <w:sz w:val="28"/>
          <w:szCs w:val="28"/>
        </w:rPr>
        <w:t xml:space="preserve"> include quality system regulation (QSR), labeling requirements</w:t>
      </w:r>
      <w:r w:rsidR="00FA1BD4">
        <w:rPr>
          <w:sz w:val="28"/>
          <w:szCs w:val="28"/>
        </w:rPr>
        <w:t xml:space="preserve"> and recording of materials and serial numbers.</w:t>
      </w:r>
    </w:p>
    <w:p w14:paraId="068F48F2" w14:textId="7E826E04" w:rsidR="00BC5800" w:rsidRPr="00BC5800" w:rsidRDefault="00BC5800" w:rsidP="00B932F3">
      <w:pPr>
        <w:spacing w:line="240" w:lineRule="auto"/>
        <w:rPr>
          <w:sz w:val="28"/>
          <w:szCs w:val="28"/>
        </w:rPr>
      </w:pPr>
      <w:r>
        <w:rPr>
          <w:sz w:val="28"/>
          <w:szCs w:val="28"/>
        </w:rPr>
        <w:t>5</w:t>
      </w:r>
      <w:r w:rsidRPr="00BC5800">
        <w:rPr>
          <w:sz w:val="28"/>
          <w:szCs w:val="28"/>
        </w:rPr>
        <w:t xml:space="preserve">. Communicate with the FDA: </w:t>
      </w:r>
      <w:r>
        <w:rPr>
          <w:sz w:val="28"/>
          <w:szCs w:val="28"/>
        </w:rPr>
        <w:t xml:space="preserve">Since </w:t>
      </w:r>
      <w:r w:rsidRPr="00BC5800">
        <w:rPr>
          <w:sz w:val="28"/>
          <w:szCs w:val="28"/>
        </w:rPr>
        <w:t xml:space="preserve">significant time has lapsed, it </w:t>
      </w:r>
      <w:r w:rsidR="00190C8C">
        <w:rPr>
          <w:sz w:val="28"/>
          <w:szCs w:val="28"/>
        </w:rPr>
        <w:t>would</w:t>
      </w:r>
      <w:r w:rsidRPr="00BC5800">
        <w:rPr>
          <w:sz w:val="28"/>
          <w:szCs w:val="28"/>
        </w:rPr>
        <w:t xml:space="preserve"> be beneficial to contact the FDA directly</w:t>
      </w:r>
      <w:r w:rsidR="00190C8C">
        <w:rPr>
          <w:sz w:val="28"/>
          <w:szCs w:val="28"/>
        </w:rPr>
        <w:t xml:space="preserve"> to receive</w:t>
      </w:r>
      <w:r w:rsidRPr="00BC5800">
        <w:rPr>
          <w:sz w:val="28"/>
          <w:szCs w:val="28"/>
        </w:rPr>
        <w:t xml:space="preserve"> specific guidance </w:t>
      </w:r>
      <w:r w:rsidR="00190C8C">
        <w:rPr>
          <w:sz w:val="28"/>
          <w:szCs w:val="28"/>
        </w:rPr>
        <w:t>to</w:t>
      </w:r>
      <w:r w:rsidR="00FA1BD4">
        <w:rPr>
          <w:sz w:val="28"/>
          <w:szCs w:val="28"/>
        </w:rPr>
        <w:t xml:space="preserve"> </w:t>
      </w:r>
      <w:r w:rsidRPr="00BC5800">
        <w:rPr>
          <w:sz w:val="28"/>
          <w:szCs w:val="28"/>
        </w:rPr>
        <w:t>help clarify the necessary steps to reactivate</w:t>
      </w:r>
      <w:r w:rsidR="00FA1BD4">
        <w:rPr>
          <w:sz w:val="28"/>
          <w:szCs w:val="28"/>
        </w:rPr>
        <w:t xml:space="preserve"> </w:t>
      </w:r>
      <w:r w:rsidRPr="00BC5800">
        <w:rPr>
          <w:sz w:val="28"/>
          <w:szCs w:val="28"/>
        </w:rPr>
        <w:t>registration.</w:t>
      </w:r>
    </w:p>
    <w:p w14:paraId="41EE32DF" w14:textId="0899CD64" w:rsidR="00BC5800" w:rsidRPr="00BC5800" w:rsidRDefault="00BC5800" w:rsidP="00B932F3">
      <w:pPr>
        <w:spacing w:line="240" w:lineRule="auto"/>
        <w:rPr>
          <w:sz w:val="28"/>
          <w:szCs w:val="28"/>
        </w:rPr>
      </w:pPr>
      <w:r w:rsidRPr="00BC5800">
        <w:rPr>
          <w:sz w:val="28"/>
          <w:szCs w:val="28"/>
        </w:rPr>
        <w:t xml:space="preserve">7. Regular Monitoring and Compliance: Once reinstated, </w:t>
      </w:r>
      <w:r w:rsidR="00ED33DB">
        <w:rPr>
          <w:sz w:val="28"/>
          <w:szCs w:val="28"/>
        </w:rPr>
        <w:t>it is necessary to</w:t>
      </w:r>
      <w:r w:rsidRPr="00BC5800">
        <w:rPr>
          <w:sz w:val="28"/>
          <w:szCs w:val="28"/>
        </w:rPr>
        <w:t xml:space="preserve"> </w:t>
      </w:r>
      <w:r w:rsidR="00ED33DB">
        <w:rPr>
          <w:sz w:val="28"/>
          <w:szCs w:val="28"/>
        </w:rPr>
        <w:t>annually</w:t>
      </w:r>
      <w:r w:rsidRPr="00BC5800">
        <w:rPr>
          <w:sz w:val="28"/>
          <w:szCs w:val="28"/>
        </w:rPr>
        <w:t xml:space="preserve"> monitor FDA regulations and </w:t>
      </w:r>
      <w:r w:rsidR="00ED33DB">
        <w:rPr>
          <w:sz w:val="28"/>
          <w:szCs w:val="28"/>
        </w:rPr>
        <w:t xml:space="preserve">make </w:t>
      </w:r>
      <w:r w:rsidRPr="00BC5800">
        <w:rPr>
          <w:sz w:val="28"/>
          <w:szCs w:val="28"/>
        </w:rPr>
        <w:t>timely payment of annual registration fees to avoid future inactivation.</w:t>
      </w:r>
    </w:p>
    <w:p w14:paraId="6A226F5F" w14:textId="77777777" w:rsidR="00BC5800" w:rsidRPr="00BC5800" w:rsidRDefault="00BC5800" w:rsidP="00B932F3">
      <w:pPr>
        <w:spacing w:line="240" w:lineRule="auto"/>
        <w:rPr>
          <w:sz w:val="28"/>
          <w:szCs w:val="28"/>
        </w:rPr>
      </w:pPr>
    </w:p>
    <w:p w14:paraId="71431F84" w14:textId="60ACFD1E" w:rsidR="00BC5800" w:rsidRDefault="00ED33DB" w:rsidP="00B932F3">
      <w:pPr>
        <w:spacing w:line="240" w:lineRule="auto"/>
        <w:rPr>
          <w:sz w:val="28"/>
          <w:szCs w:val="28"/>
        </w:rPr>
      </w:pPr>
      <w:r>
        <w:rPr>
          <w:sz w:val="28"/>
          <w:szCs w:val="28"/>
        </w:rPr>
        <w:t>Conclusion:</w:t>
      </w:r>
    </w:p>
    <w:p w14:paraId="24B4E06F" w14:textId="6D52B5BD" w:rsidR="00B932F3" w:rsidRDefault="00ED33DB" w:rsidP="00B932F3">
      <w:pPr>
        <w:spacing w:line="240" w:lineRule="auto"/>
        <w:rPr>
          <w:sz w:val="28"/>
          <w:szCs w:val="28"/>
        </w:rPr>
      </w:pPr>
      <w:r>
        <w:rPr>
          <w:sz w:val="28"/>
          <w:szCs w:val="28"/>
        </w:rPr>
        <w:t>That should be all we have to do since there have been no significant changes to the original Substantial Equivalence Medical Device Registration as a Class 1 MD.</w:t>
      </w:r>
    </w:p>
    <w:p w14:paraId="088F7DD5" w14:textId="03DB1712" w:rsidR="00B932F3" w:rsidRPr="00B932F3" w:rsidRDefault="00ED33DB" w:rsidP="00B932F3">
      <w:pPr>
        <w:spacing w:line="240" w:lineRule="auto"/>
        <w:rPr>
          <w:sz w:val="28"/>
          <w:szCs w:val="28"/>
        </w:rPr>
      </w:pPr>
      <w:r>
        <w:rPr>
          <w:sz w:val="28"/>
          <w:szCs w:val="28"/>
        </w:rPr>
        <w:t xml:space="preserve">Note: </w:t>
      </w:r>
      <w:r w:rsidR="00B932F3" w:rsidRPr="00B932F3">
        <w:rPr>
          <w:sz w:val="28"/>
          <w:szCs w:val="28"/>
        </w:rPr>
        <w:t>Understanding the difference between FDA medical device registration and FDA approval is crucial for anyone involved in the development, manufacturing, or distribution of medical devices in the United States.</w:t>
      </w:r>
    </w:p>
    <w:p w14:paraId="4E45D4BA" w14:textId="45A3198A" w:rsidR="00B932F3" w:rsidRPr="009A5F30" w:rsidRDefault="00B932F3" w:rsidP="00B932F3">
      <w:pPr>
        <w:spacing w:line="240" w:lineRule="auto"/>
        <w:rPr>
          <w:b/>
          <w:bCs/>
          <w:sz w:val="28"/>
          <w:szCs w:val="28"/>
        </w:rPr>
      </w:pPr>
      <w:r w:rsidRPr="009A5F30">
        <w:rPr>
          <w:b/>
          <w:bCs/>
          <w:sz w:val="28"/>
          <w:szCs w:val="28"/>
        </w:rPr>
        <w:t>1. FDA Medical Device Registration</w:t>
      </w:r>
    </w:p>
    <w:p w14:paraId="170A8DC6" w14:textId="4A12D4BF" w:rsidR="00B932F3" w:rsidRPr="00B932F3" w:rsidRDefault="00B932F3" w:rsidP="00B932F3">
      <w:pPr>
        <w:spacing w:line="240" w:lineRule="auto"/>
        <w:rPr>
          <w:sz w:val="28"/>
          <w:szCs w:val="28"/>
        </w:rPr>
      </w:pPr>
      <w:r w:rsidRPr="00B932F3">
        <w:rPr>
          <w:sz w:val="28"/>
          <w:szCs w:val="28"/>
        </w:rPr>
        <w:t>**Medical Device Registration** refers to the process where manufacturers, distributors, and other entities involved in the production and distribution of medical devices must register their establishments with the FDA. This is a mandatory requirement for any facility involved in the production and distribution of medical devices intended for the U.S. market. Registration provides the FDA with information on who is making, repackaging, relabeling, or importing medical devices.</w:t>
      </w:r>
    </w:p>
    <w:p w14:paraId="56B4EE32" w14:textId="6A0D4081" w:rsidR="00B932F3" w:rsidRPr="009A5F30" w:rsidRDefault="00B932F3" w:rsidP="00B932F3">
      <w:pPr>
        <w:spacing w:line="240" w:lineRule="auto"/>
        <w:rPr>
          <w:b/>
          <w:bCs/>
          <w:sz w:val="28"/>
          <w:szCs w:val="28"/>
        </w:rPr>
      </w:pPr>
      <w:r w:rsidRPr="009A5F30">
        <w:rPr>
          <w:b/>
          <w:bCs/>
          <w:sz w:val="28"/>
          <w:szCs w:val="28"/>
        </w:rPr>
        <w:t xml:space="preserve"> 2.FDA Approva</w:t>
      </w:r>
      <w:r w:rsidRPr="009A5F30">
        <w:rPr>
          <w:b/>
          <w:bCs/>
          <w:sz w:val="28"/>
          <w:szCs w:val="28"/>
        </w:rPr>
        <w:t>l</w:t>
      </w:r>
    </w:p>
    <w:p w14:paraId="6DFD9F25" w14:textId="348B3566" w:rsidR="00ED33DB" w:rsidRPr="00BC5800" w:rsidRDefault="00B932F3" w:rsidP="00B932F3">
      <w:pPr>
        <w:spacing w:line="240" w:lineRule="auto"/>
        <w:rPr>
          <w:sz w:val="28"/>
          <w:szCs w:val="28"/>
        </w:rPr>
      </w:pPr>
      <w:r w:rsidRPr="00B932F3">
        <w:rPr>
          <w:sz w:val="28"/>
          <w:szCs w:val="28"/>
        </w:rPr>
        <w:t xml:space="preserve">FDA Approval (or clearance), on the other hand, is a process that evaluates individual medical devices for safety and effectiveness before they can be marketed in the U.S. Depending on the device's classification (Class I, II, or III), the </w:t>
      </w:r>
      <w:r w:rsidRPr="00B932F3">
        <w:rPr>
          <w:sz w:val="28"/>
          <w:szCs w:val="28"/>
        </w:rPr>
        <w:lastRenderedPageBreak/>
        <w:t>process varies in complexity and rigor</w:t>
      </w:r>
      <w:r>
        <w:rPr>
          <w:sz w:val="28"/>
          <w:szCs w:val="28"/>
        </w:rPr>
        <w:t xml:space="preserve"> before awarding a 510 K clearance</w:t>
      </w:r>
      <w:r w:rsidR="00FF7DF2">
        <w:rPr>
          <w:sz w:val="28"/>
          <w:szCs w:val="28"/>
        </w:rPr>
        <w:t xml:space="preserve"> </w:t>
      </w:r>
      <w:r w:rsidRPr="00B932F3">
        <w:rPr>
          <w:sz w:val="28"/>
          <w:szCs w:val="28"/>
        </w:rPr>
        <w:t>. Both processes are fundamental to the FDA's role in protecting public health, but they serve distinct and complementary purposes.</w:t>
      </w:r>
    </w:p>
    <w:sectPr w:rsidR="00ED33DB" w:rsidRPr="00BC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B5B"/>
    <w:multiLevelType w:val="multilevel"/>
    <w:tmpl w:val="7046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01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85"/>
    <w:rsid w:val="000F1285"/>
    <w:rsid w:val="00190C8C"/>
    <w:rsid w:val="007262C9"/>
    <w:rsid w:val="009A5F30"/>
    <w:rsid w:val="00A2611F"/>
    <w:rsid w:val="00A539CB"/>
    <w:rsid w:val="00AA1D75"/>
    <w:rsid w:val="00AF0910"/>
    <w:rsid w:val="00B932F3"/>
    <w:rsid w:val="00BC5800"/>
    <w:rsid w:val="00ED33DB"/>
    <w:rsid w:val="00FA1BD4"/>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A5C7"/>
  <w15:chartTrackingRefBased/>
  <w15:docId w15:val="{223EA3F5-684C-451A-BEB5-1D68E717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1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2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F1285"/>
    <w:rPr>
      <w:b/>
      <w:bCs/>
    </w:rPr>
  </w:style>
  <w:style w:type="character" w:customStyle="1" w:styleId="Heading1Char">
    <w:name w:val="Heading 1 Char"/>
    <w:basedOn w:val="DefaultParagraphFont"/>
    <w:link w:val="Heading1"/>
    <w:uiPriority w:val="9"/>
    <w:rsid w:val="00A261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8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vidmar</dc:creator>
  <cp:keywords/>
  <dc:description/>
  <cp:lastModifiedBy>david vidmar</cp:lastModifiedBy>
  <cp:revision>7</cp:revision>
  <dcterms:created xsi:type="dcterms:W3CDTF">2024-05-08T16:56:00Z</dcterms:created>
  <dcterms:modified xsi:type="dcterms:W3CDTF">2024-05-08T18:17:00Z</dcterms:modified>
</cp:coreProperties>
</file>